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FC" w:rsidRDefault="00780CB1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25F5">
        <w:rPr>
          <w:rFonts w:ascii="Times New Roman" w:hAnsi="Times New Roman" w:cs="Times New Roman"/>
          <w:sz w:val="28"/>
          <w:szCs w:val="28"/>
        </w:rPr>
        <w:t xml:space="preserve">Статистические данные о </w:t>
      </w:r>
      <w:r w:rsidR="00B2768F">
        <w:rPr>
          <w:rFonts w:ascii="Times New Roman" w:hAnsi="Times New Roman" w:cs="Times New Roman"/>
          <w:sz w:val="28"/>
          <w:szCs w:val="28"/>
        </w:rPr>
        <w:t xml:space="preserve">внешней торговле </w:t>
      </w:r>
      <w:r w:rsidRPr="00A525F5">
        <w:rPr>
          <w:rFonts w:ascii="Times New Roman" w:hAnsi="Times New Roman" w:cs="Times New Roman"/>
          <w:sz w:val="28"/>
          <w:szCs w:val="28"/>
        </w:rPr>
        <w:t>энергоносител</w:t>
      </w:r>
      <w:r w:rsidR="00B2768F">
        <w:rPr>
          <w:rFonts w:ascii="Times New Roman" w:hAnsi="Times New Roman" w:cs="Times New Roman"/>
          <w:sz w:val="28"/>
          <w:szCs w:val="28"/>
        </w:rPr>
        <w:t>ями</w:t>
      </w:r>
      <w:r w:rsidRPr="00A525F5">
        <w:rPr>
          <w:rFonts w:ascii="Times New Roman" w:hAnsi="Times New Roman" w:cs="Times New Roman"/>
          <w:sz w:val="28"/>
          <w:szCs w:val="28"/>
        </w:rPr>
        <w:t xml:space="preserve"> </w:t>
      </w:r>
      <w:r w:rsidR="002A3111">
        <w:rPr>
          <w:rFonts w:ascii="Times New Roman" w:hAnsi="Times New Roman" w:cs="Times New Roman"/>
          <w:sz w:val="28"/>
          <w:szCs w:val="28"/>
        </w:rPr>
        <w:t>за</w:t>
      </w:r>
      <w:r w:rsidR="00FB106F" w:rsidRPr="00FB106F">
        <w:rPr>
          <w:rFonts w:ascii="Times New Roman" w:hAnsi="Times New Roman" w:cs="Times New Roman"/>
          <w:sz w:val="28"/>
          <w:szCs w:val="28"/>
        </w:rPr>
        <w:t xml:space="preserve"> </w:t>
      </w:r>
      <w:r w:rsidR="00FB106F">
        <w:rPr>
          <w:rFonts w:ascii="Times New Roman" w:hAnsi="Times New Roman" w:cs="Times New Roman"/>
          <w:sz w:val="28"/>
          <w:szCs w:val="28"/>
        </w:rPr>
        <w:t>январь</w:t>
      </w:r>
      <w:r w:rsidR="005D4467" w:rsidRPr="005D4467">
        <w:rPr>
          <w:rFonts w:ascii="Times New Roman" w:hAnsi="Times New Roman" w:cs="Times New Roman"/>
          <w:sz w:val="28"/>
          <w:szCs w:val="28"/>
        </w:rPr>
        <w:t>-</w:t>
      </w:r>
      <w:r w:rsidR="0036426E">
        <w:rPr>
          <w:rFonts w:ascii="Times New Roman" w:hAnsi="Times New Roman" w:cs="Times New Roman"/>
          <w:sz w:val="28"/>
          <w:szCs w:val="28"/>
        </w:rPr>
        <w:t>ию</w:t>
      </w:r>
      <w:r w:rsidR="006E666A">
        <w:rPr>
          <w:rFonts w:ascii="Times New Roman" w:hAnsi="Times New Roman" w:cs="Times New Roman"/>
          <w:sz w:val="28"/>
          <w:szCs w:val="28"/>
        </w:rPr>
        <w:t>л</w:t>
      </w:r>
      <w:r w:rsidR="0036426E">
        <w:rPr>
          <w:rFonts w:ascii="Times New Roman" w:hAnsi="Times New Roman" w:cs="Times New Roman"/>
          <w:sz w:val="28"/>
          <w:szCs w:val="28"/>
        </w:rPr>
        <w:t>ь</w:t>
      </w:r>
      <w:r w:rsidR="000F577E">
        <w:rPr>
          <w:rFonts w:ascii="Times New Roman" w:hAnsi="Times New Roman" w:cs="Times New Roman"/>
          <w:sz w:val="28"/>
          <w:szCs w:val="28"/>
        </w:rPr>
        <w:t xml:space="preserve"> </w:t>
      </w:r>
      <w:r w:rsidRPr="00A525F5">
        <w:rPr>
          <w:rFonts w:ascii="Times New Roman" w:hAnsi="Times New Roman" w:cs="Times New Roman"/>
          <w:sz w:val="28"/>
          <w:szCs w:val="28"/>
        </w:rPr>
        <w:t>201</w:t>
      </w:r>
      <w:r w:rsidR="00072F4A" w:rsidRPr="00072F4A">
        <w:rPr>
          <w:rFonts w:ascii="Times New Roman" w:hAnsi="Times New Roman" w:cs="Times New Roman"/>
          <w:sz w:val="28"/>
          <w:szCs w:val="28"/>
        </w:rPr>
        <w:t>7</w:t>
      </w:r>
      <w:r w:rsidR="00FE17E6" w:rsidRPr="00A525F5">
        <w:rPr>
          <w:rFonts w:ascii="Times New Roman" w:hAnsi="Times New Roman" w:cs="Times New Roman"/>
          <w:sz w:val="28"/>
          <w:szCs w:val="28"/>
        </w:rPr>
        <w:t xml:space="preserve"> года были получены на основе информации, содержащейся в декларациях на товары, оформленных Центральной энергетической таможней на ввоз/вывоз энергоносителей</w:t>
      </w:r>
      <w:r w:rsidR="00B2768F">
        <w:rPr>
          <w:rFonts w:ascii="Times New Roman" w:hAnsi="Times New Roman" w:cs="Times New Roman"/>
          <w:sz w:val="28"/>
          <w:szCs w:val="28"/>
        </w:rPr>
        <w:t xml:space="preserve">, по состоянию на </w:t>
      </w:r>
      <w:r w:rsidR="00E05E54">
        <w:rPr>
          <w:rFonts w:ascii="Times New Roman" w:hAnsi="Times New Roman" w:cs="Times New Roman"/>
          <w:sz w:val="28"/>
          <w:szCs w:val="28"/>
        </w:rPr>
        <w:t>3</w:t>
      </w:r>
      <w:r w:rsidR="006E666A">
        <w:rPr>
          <w:rFonts w:ascii="Times New Roman" w:hAnsi="Times New Roman" w:cs="Times New Roman"/>
          <w:sz w:val="28"/>
          <w:szCs w:val="28"/>
        </w:rPr>
        <w:t>0</w:t>
      </w:r>
      <w:r w:rsidR="00B2768F" w:rsidRPr="002F19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8115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6E666A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38115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2768F" w:rsidRPr="00471F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768F" w:rsidRPr="008724AF">
        <w:rPr>
          <w:rFonts w:ascii="Times New Roman" w:hAnsi="Times New Roman" w:cs="Times New Roman"/>
          <w:sz w:val="28"/>
          <w:szCs w:val="28"/>
        </w:rPr>
        <w:t>г.</w:t>
      </w:r>
      <w:r w:rsidR="00A525F5" w:rsidRPr="008724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9FC" w:rsidRPr="002369FC" w:rsidRDefault="002369FC" w:rsidP="002369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за основу была взята статистическая стоимость товаров.</w:t>
      </w:r>
    </w:p>
    <w:p w:rsidR="00A0197A" w:rsidRDefault="00A0197A"/>
    <w:p w:rsidR="00B2768F" w:rsidRDefault="00B2768F"/>
    <w:p w:rsidR="00A525F5" w:rsidRDefault="00A525F5"/>
    <w:p w:rsidR="00A0197A" w:rsidRPr="00A525F5" w:rsidRDefault="00A525F5" w:rsidP="00A01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поставок энергоносителей в соответствии с направлением перемещения </w:t>
      </w:r>
    </w:p>
    <w:p w:rsidR="00A525F5" w:rsidRPr="00A525F5" w:rsidRDefault="00A525F5" w:rsidP="00A525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525F5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780CB1" w:rsidRDefault="00780CB1">
      <w:r w:rsidRPr="003A492A">
        <w:rPr>
          <w:noProof/>
          <w:color w:val="943634" w:themeColor="accent2" w:themeShade="BF"/>
          <w:lang w:eastAsia="ru-RU"/>
        </w:rPr>
        <w:drawing>
          <wp:inline distT="0" distB="0" distL="0" distR="0" wp14:anchorId="5B90D6B9" wp14:editId="5E8A50E5">
            <wp:extent cx="5486400" cy="32385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525F5" w:rsidRDefault="00A525F5"/>
    <w:p w:rsidR="00A525F5" w:rsidRDefault="00A525F5"/>
    <w:p w:rsidR="00A525F5" w:rsidRDefault="00A525F5"/>
    <w:p w:rsidR="00A525F5" w:rsidRDefault="00A525F5"/>
    <w:p w:rsidR="00B2768F" w:rsidRDefault="00B2768F"/>
    <w:p w:rsidR="00B2768F" w:rsidRDefault="00B2768F"/>
    <w:p w:rsidR="00A525F5" w:rsidRDefault="00A525F5"/>
    <w:p w:rsidR="00A525F5" w:rsidRDefault="00A525F5"/>
    <w:p w:rsidR="00A525F5" w:rsidRDefault="00A525F5"/>
    <w:p w:rsidR="00A525F5" w:rsidRPr="006276E5" w:rsidRDefault="00A525F5" w:rsidP="00A525F5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B2768F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  <w:r w:rsidR="006276E5" w:rsidRPr="006276E5">
        <w:rPr>
          <w:rFonts w:ascii="Times New Roman" w:hAnsi="Times New Roman" w:cs="Times New Roman"/>
          <w:sz w:val="24"/>
          <w:szCs w:val="24"/>
        </w:rPr>
        <w:t>*</w:t>
      </w:r>
    </w:p>
    <w:p w:rsidR="00A525F5" w:rsidRDefault="00A525F5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1D0390" w:rsidRPr="00A525F5" w:rsidRDefault="001D0390" w:rsidP="00A525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CB1" w:rsidRDefault="00CE4E7A">
      <w:r>
        <w:rPr>
          <w:noProof/>
          <w:lang w:eastAsia="ru-RU"/>
        </w:rPr>
        <w:drawing>
          <wp:inline distT="0" distB="0" distL="0" distR="0">
            <wp:extent cx="6105525" cy="44386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68F" w:rsidRDefault="00B2768F" w:rsidP="00B2768F">
      <w:pPr>
        <w:spacing w:after="0" w:line="240" w:lineRule="auto"/>
      </w:pPr>
      <w:r>
        <w:rPr>
          <w:sz w:val="20"/>
          <w:szCs w:val="20"/>
        </w:rPr>
        <w:t>* Коды товаров в соответствии с ТН ВЭД ТС:</w:t>
      </w:r>
      <w:r>
        <w:t xml:space="preserve"> 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t xml:space="preserve">         </w:t>
      </w:r>
      <w:r>
        <w:rPr>
          <w:sz w:val="20"/>
          <w:szCs w:val="20"/>
        </w:rPr>
        <w:t>Уголь каменный – 2701</w:t>
      </w:r>
      <w:r w:rsidR="001D0390">
        <w:rPr>
          <w:sz w:val="20"/>
          <w:szCs w:val="20"/>
        </w:rPr>
        <w:t>*</w:t>
      </w:r>
    </w:p>
    <w:p w:rsidR="001D0390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Бурый уголь – 2702</w:t>
      </w:r>
      <w:r w:rsidR="001D0390">
        <w:rPr>
          <w:sz w:val="20"/>
          <w:szCs w:val="20"/>
        </w:rPr>
        <w:t>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Торф – 2703*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Кокс и полукокс из каменного угля – 2704*</w:t>
      </w:r>
    </w:p>
    <w:p w:rsid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B2768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Газовый конденсат природный – 2709 00 1*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Нефть сырая – 2709*</w:t>
      </w:r>
    </w:p>
    <w:p w:rsidR="001D0390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Газ природный – 2711 21*</w:t>
      </w:r>
    </w:p>
    <w:p w:rsidR="001D0390" w:rsidRPr="00B2768F" w:rsidRDefault="001D0390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Электроэнергия – 2716*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08194F">
        <w:rPr>
          <w:sz w:val="20"/>
          <w:szCs w:val="20"/>
        </w:rPr>
        <w:t>Топлива жидкие – 2710 19 51</w:t>
      </w:r>
      <w:r w:rsidR="00282161" w:rsidRPr="0008194F">
        <w:rPr>
          <w:sz w:val="20"/>
          <w:szCs w:val="20"/>
        </w:rPr>
        <w:t>0</w:t>
      </w:r>
      <w:r w:rsidR="0008194F">
        <w:rPr>
          <w:sz w:val="20"/>
          <w:szCs w:val="20"/>
        </w:rPr>
        <w:t xml:space="preserve"> </w:t>
      </w:r>
      <w:r>
        <w:rPr>
          <w:sz w:val="20"/>
          <w:szCs w:val="20"/>
        </w:rPr>
        <w:t>1 – 2710 19 680 9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Дизельное топливо – 2710 19 310 0 – 2710 19 480 0</w:t>
      </w:r>
    </w:p>
    <w:p w:rsidR="00B2768F" w:rsidRDefault="00B2768F" w:rsidP="00B2768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Бензин автомобильный – 2710 12 410 0 – 2710 12 49 0</w:t>
      </w:r>
    </w:p>
    <w:p w:rsidR="00B2768F" w:rsidRDefault="00B2768F" w:rsidP="00B2768F">
      <w:pPr>
        <w:rPr>
          <w:rFonts w:ascii="Times New Roman" w:hAnsi="Times New Roman" w:cs="Times New Roman"/>
          <w:b/>
          <w:sz w:val="28"/>
          <w:szCs w:val="28"/>
        </w:rPr>
      </w:pP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 w:rsidR="001D0390">
        <w:rPr>
          <w:rFonts w:ascii="Times New Roman" w:hAnsi="Times New Roman" w:cs="Times New Roman"/>
          <w:b/>
          <w:sz w:val="28"/>
          <w:szCs w:val="28"/>
        </w:rPr>
        <w:t xml:space="preserve"> по товарам</w:t>
      </w:r>
    </w:p>
    <w:p w:rsidR="00D13C9C" w:rsidRDefault="00A0197A" w:rsidP="00D13C9C">
      <w:r>
        <w:rPr>
          <w:noProof/>
          <w:lang w:eastAsia="ru-RU"/>
        </w:rPr>
        <w:drawing>
          <wp:inline distT="0" distB="0" distL="0" distR="0" wp14:anchorId="3408D48C" wp14:editId="51CECE22">
            <wp:extent cx="5486400" cy="3339548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3B05" w:rsidRDefault="00463B05" w:rsidP="00463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A0197A" w:rsidRDefault="00A0197A"/>
    <w:p w:rsidR="006276E5" w:rsidRDefault="00AF0E7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853C84" wp14:editId="1A6F578B">
            <wp:extent cx="5931673" cy="4222143"/>
            <wp:effectExtent l="0" t="0" r="0" b="698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3B90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соответствии с видами транспорта</w:t>
      </w: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8194F">
        <w:rPr>
          <w:noProof/>
          <w:lang w:eastAsia="ru-RU"/>
        </w:rPr>
        <w:drawing>
          <wp:inline distT="0" distB="0" distL="0" distR="0" wp14:anchorId="5ECCAAB7" wp14:editId="6CBE0D30">
            <wp:extent cx="5486400" cy="3339548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</w:t>
      </w:r>
    </w:p>
    <w:p w:rsidR="000B4E7A" w:rsidRPr="000B4E7A" w:rsidRDefault="000B4E7A"/>
    <w:p w:rsidR="00937D67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Товарооборот таможни по странам</w:t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69854BFB" wp14:editId="39C0BCFE">
            <wp:extent cx="5486400" cy="32004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0AFF" w:rsidRDefault="00190AFF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B90" w:rsidRPr="00A525F5" w:rsidRDefault="00083B90" w:rsidP="00083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вывоза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0B4E7A" w:rsidRDefault="000B4E7A">
      <w:r w:rsidRPr="007E2C38">
        <w:rPr>
          <w:noProof/>
          <w:color w:val="548DD4" w:themeColor="text2" w:themeTint="99"/>
          <w:lang w:eastAsia="ru-RU"/>
        </w:rPr>
        <w:drawing>
          <wp:inline distT="0" distB="0" distL="0" distR="0" wp14:anchorId="1AAB317E" wp14:editId="349667B8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4BF6" w:rsidRDefault="00B44BF6"/>
    <w:p w:rsidR="00B44BF6" w:rsidRDefault="00B44BF6"/>
    <w:p w:rsidR="003A492A" w:rsidRDefault="003A492A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5F5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ввоза </w:t>
      </w:r>
      <w:r w:rsidRPr="00A525F5">
        <w:rPr>
          <w:rFonts w:ascii="Times New Roman" w:hAnsi="Times New Roman" w:cs="Times New Roman"/>
          <w:b/>
          <w:sz w:val="28"/>
          <w:szCs w:val="28"/>
        </w:rPr>
        <w:t>энергоносителей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группам стран</w:t>
      </w:r>
    </w:p>
    <w:p w:rsidR="008C0A01" w:rsidRDefault="008C0A01" w:rsidP="003A49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6E5" w:rsidRPr="008C0A01" w:rsidRDefault="00B44BF6" w:rsidP="008C0A01">
      <w:r>
        <w:rPr>
          <w:noProof/>
          <w:lang w:eastAsia="ru-RU"/>
        </w:rPr>
        <w:drawing>
          <wp:inline distT="0" distB="0" distL="0" distR="0" wp14:anchorId="7CB8ECC9" wp14:editId="5D60D201">
            <wp:extent cx="5486400" cy="39052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6276E5" w:rsidRPr="008C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14D7D"/>
    <w:multiLevelType w:val="hybridMultilevel"/>
    <w:tmpl w:val="E51AB320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E5432"/>
    <w:multiLevelType w:val="hybridMultilevel"/>
    <w:tmpl w:val="D5D256F8"/>
    <w:lvl w:ilvl="0" w:tplc="6ECA97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E2B27"/>
    <w:multiLevelType w:val="hybridMultilevel"/>
    <w:tmpl w:val="3F168662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E304C4"/>
    <w:multiLevelType w:val="hybridMultilevel"/>
    <w:tmpl w:val="9BEAFB2E"/>
    <w:lvl w:ilvl="0" w:tplc="90801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16BC4"/>
    <w:multiLevelType w:val="hybridMultilevel"/>
    <w:tmpl w:val="2A8EECD4"/>
    <w:lvl w:ilvl="0" w:tplc="01767ED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969EC"/>
    <w:multiLevelType w:val="hybridMultilevel"/>
    <w:tmpl w:val="A714263E"/>
    <w:lvl w:ilvl="0" w:tplc="E1702DC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223001"/>
    <w:multiLevelType w:val="hybridMultilevel"/>
    <w:tmpl w:val="EAE63B52"/>
    <w:lvl w:ilvl="0" w:tplc="2B6670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B1"/>
    <w:rsid w:val="00014F34"/>
    <w:rsid w:val="00033CC3"/>
    <w:rsid w:val="00044B05"/>
    <w:rsid w:val="00072F4A"/>
    <w:rsid w:val="0008194F"/>
    <w:rsid w:val="00083B90"/>
    <w:rsid w:val="000A1DAC"/>
    <w:rsid w:val="000A2C9A"/>
    <w:rsid w:val="000B4E7A"/>
    <w:rsid w:val="000F577E"/>
    <w:rsid w:val="00114399"/>
    <w:rsid w:val="00116279"/>
    <w:rsid w:val="00151CDD"/>
    <w:rsid w:val="00151D96"/>
    <w:rsid w:val="00190AFF"/>
    <w:rsid w:val="00197154"/>
    <w:rsid w:val="001A149D"/>
    <w:rsid w:val="001A1CEA"/>
    <w:rsid w:val="001B4A2D"/>
    <w:rsid w:val="001C0952"/>
    <w:rsid w:val="001D0390"/>
    <w:rsid w:val="001D74A2"/>
    <w:rsid w:val="001E19F4"/>
    <w:rsid w:val="002369FC"/>
    <w:rsid w:val="00243BE5"/>
    <w:rsid w:val="0025448E"/>
    <w:rsid w:val="00262EB8"/>
    <w:rsid w:val="00282161"/>
    <w:rsid w:val="002A3111"/>
    <w:rsid w:val="002E0ADB"/>
    <w:rsid w:val="002E4D7A"/>
    <w:rsid w:val="002F19B5"/>
    <w:rsid w:val="002F4CCF"/>
    <w:rsid w:val="0031366B"/>
    <w:rsid w:val="00322D3E"/>
    <w:rsid w:val="00326A76"/>
    <w:rsid w:val="003339A5"/>
    <w:rsid w:val="0036426E"/>
    <w:rsid w:val="0038115C"/>
    <w:rsid w:val="003A492A"/>
    <w:rsid w:val="003C4C3B"/>
    <w:rsid w:val="003F3793"/>
    <w:rsid w:val="003F5119"/>
    <w:rsid w:val="00401571"/>
    <w:rsid w:val="004100CA"/>
    <w:rsid w:val="00434A77"/>
    <w:rsid w:val="004437FF"/>
    <w:rsid w:val="00463B05"/>
    <w:rsid w:val="00471F20"/>
    <w:rsid w:val="004755D4"/>
    <w:rsid w:val="004B3C5F"/>
    <w:rsid w:val="00500AAC"/>
    <w:rsid w:val="00542EBF"/>
    <w:rsid w:val="005469AC"/>
    <w:rsid w:val="00555103"/>
    <w:rsid w:val="00571FC1"/>
    <w:rsid w:val="00577A45"/>
    <w:rsid w:val="0058159A"/>
    <w:rsid w:val="0058339A"/>
    <w:rsid w:val="005960F1"/>
    <w:rsid w:val="005B523D"/>
    <w:rsid w:val="005D4467"/>
    <w:rsid w:val="005D6783"/>
    <w:rsid w:val="006219A0"/>
    <w:rsid w:val="006276E5"/>
    <w:rsid w:val="0063531E"/>
    <w:rsid w:val="00650DB3"/>
    <w:rsid w:val="006A3ED5"/>
    <w:rsid w:val="006B1E5A"/>
    <w:rsid w:val="006C4CC4"/>
    <w:rsid w:val="006C5F14"/>
    <w:rsid w:val="006D28D6"/>
    <w:rsid w:val="006E1EB6"/>
    <w:rsid w:val="006E666A"/>
    <w:rsid w:val="00702691"/>
    <w:rsid w:val="00702703"/>
    <w:rsid w:val="00705C4A"/>
    <w:rsid w:val="00716FFB"/>
    <w:rsid w:val="00724562"/>
    <w:rsid w:val="00730CE5"/>
    <w:rsid w:val="00731691"/>
    <w:rsid w:val="00737CCD"/>
    <w:rsid w:val="00780CB1"/>
    <w:rsid w:val="007B1D3E"/>
    <w:rsid w:val="007C6483"/>
    <w:rsid w:val="007C719A"/>
    <w:rsid w:val="007E2C38"/>
    <w:rsid w:val="007F0AE1"/>
    <w:rsid w:val="007F7C87"/>
    <w:rsid w:val="008031EA"/>
    <w:rsid w:val="00814CF2"/>
    <w:rsid w:val="0083096E"/>
    <w:rsid w:val="008371B1"/>
    <w:rsid w:val="00843313"/>
    <w:rsid w:val="00846DF1"/>
    <w:rsid w:val="008724AF"/>
    <w:rsid w:val="008811C7"/>
    <w:rsid w:val="008956FF"/>
    <w:rsid w:val="008B7411"/>
    <w:rsid w:val="008C0A01"/>
    <w:rsid w:val="008C4E0D"/>
    <w:rsid w:val="008F75E0"/>
    <w:rsid w:val="00937D67"/>
    <w:rsid w:val="009537CB"/>
    <w:rsid w:val="009A628D"/>
    <w:rsid w:val="009B0629"/>
    <w:rsid w:val="009B2BF2"/>
    <w:rsid w:val="00A0197A"/>
    <w:rsid w:val="00A12E03"/>
    <w:rsid w:val="00A13004"/>
    <w:rsid w:val="00A279CD"/>
    <w:rsid w:val="00A525F5"/>
    <w:rsid w:val="00A557F0"/>
    <w:rsid w:val="00A645BD"/>
    <w:rsid w:val="00A676C1"/>
    <w:rsid w:val="00A7792D"/>
    <w:rsid w:val="00A874BF"/>
    <w:rsid w:val="00AC40E9"/>
    <w:rsid w:val="00AF0E7F"/>
    <w:rsid w:val="00B144AA"/>
    <w:rsid w:val="00B2768F"/>
    <w:rsid w:val="00B4191C"/>
    <w:rsid w:val="00B44BF6"/>
    <w:rsid w:val="00B53137"/>
    <w:rsid w:val="00B73A1B"/>
    <w:rsid w:val="00B77415"/>
    <w:rsid w:val="00B85EF7"/>
    <w:rsid w:val="00BA1987"/>
    <w:rsid w:val="00BE1CCE"/>
    <w:rsid w:val="00C0381D"/>
    <w:rsid w:val="00C35312"/>
    <w:rsid w:val="00C66F53"/>
    <w:rsid w:val="00CB2707"/>
    <w:rsid w:val="00CD0840"/>
    <w:rsid w:val="00CE4E7A"/>
    <w:rsid w:val="00CF1281"/>
    <w:rsid w:val="00CF33DB"/>
    <w:rsid w:val="00D13C9C"/>
    <w:rsid w:val="00D16764"/>
    <w:rsid w:val="00D2189D"/>
    <w:rsid w:val="00D4245E"/>
    <w:rsid w:val="00D45253"/>
    <w:rsid w:val="00DA3067"/>
    <w:rsid w:val="00DC4F67"/>
    <w:rsid w:val="00DC5A9C"/>
    <w:rsid w:val="00DD77C3"/>
    <w:rsid w:val="00DE6939"/>
    <w:rsid w:val="00DF1B77"/>
    <w:rsid w:val="00E05E54"/>
    <w:rsid w:val="00E26453"/>
    <w:rsid w:val="00E44D54"/>
    <w:rsid w:val="00E603C7"/>
    <w:rsid w:val="00E7147F"/>
    <w:rsid w:val="00E85A76"/>
    <w:rsid w:val="00EC5F13"/>
    <w:rsid w:val="00EC763E"/>
    <w:rsid w:val="00EE2865"/>
    <w:rsid w:val="00F32D6E"/>
    <w:rsid w:val="00F60FB9"/>
    <w:rsid w:val="00F65562"/>
    <w:rsid w:val="00F72F72"/>
    <w:rsid w:val="00FB106F"/>
    <w:rsid w:val="00FB2021"/>
    <w:rsid w:val="00FB536E"/>
    <w:rsid w:val="00FB6A2E"/>
    <w:rsid w:val="00FE17E6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C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4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2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222222222222224E-2"/>
          <c:y val="0.15661756986259071"/>
          <c:w val="0.8032407407407407"/>
          <c:h val="0.7691178014512891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</c:v>
                </c:pt>
              </c:strCache>
            </c:strRef>
          </c:tx>
          <c:dPt>
            <c:idx val="1"/>
            <c:bubble3D val="0"/>
            <c:spPr>
              <a:solidFill>
                <a:srgbClr val="FFC000"/>
              </a:solidFill>
            </c:spPr>
          </c:dPt>
          <c:dLbls>
            <c:dLbl>
              <c:idx val="0"/>
              <c:layout>
                <c:manualLayout>
                  <c:x val="0.14062408865558471"/>
                  <c:y val="1.614018835880809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Импорт
0,01%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Экспорт
99,99%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Импорт</c:v>
                </c:pt>
                <c:pt idx="1">
                  <c:v>Экспорт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0.1</c:v>
                </c:pt>
                <c:pt idx="1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66025641025641"/>
          <c:y val="0.21505063501049299"/>
          <c:w val="0.75961538461538458"/>
          <c:h val="0.7471861115399790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Товарная структура вывоза энергоносителей в 1 полугодии 2014 г. (млн.долл.США)</c:v>
                </c:pt>
              </c:strCache>
            </c:strRef>
          </c:tx>
          <c:dPt>
            <c:idx val="5"/>
            <c:bubble3D val="0"/>
            <c:spPr>
              <a:solidFill>
                <a:srgbClr val="FFFF00"/>
              </a:solidFill>
            </c:spPr>
          </c:dPt>
          <c:dPt>
            <c:idx val="6"/>
            <c:bubble3D val="0"/>
            <c:spPr>
              <a:solidFill>
                <a:schemeClr val="accent5">
                  <a:lumMod val="40000"/>
                  <a:lumOff val="60000"/>
                </a:schemeClr>
              </a:solidFill>
            </c:spPr>
          </c:dPt>
          <c:dPt>
            <c:idx val="9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16733618794871519"/>
                  <c:y val="-7.12448172433098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Уголь каменный - 6,2%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1307633420822397"/>
                  <c:y val="-0.1560480103385769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Бурый уголь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224846894138234E-3"/>
                  <c:y val="-0.1771373349573133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Торф - 0,00%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1383033851537789"/>
                  <c:y val="-8.662149257486605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0,3%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0790598290598292"/>
                  <c:y val="6.878881969819135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Газовый конденсат природный - </a:t>
                    </a:r>
                    <a:r>
                      <a:rPr lang="en-US"/>
                      <a:t>0</a:t>
                    </a:r>
                    <a:r>
                      <a:rPr lang="ru-RU"/>
                      <a:t>,1%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21734591512595711"/>
                  <c:y val="-8.86270551844695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Нефть сырая </a:t>
                    </a:r>
                    <a:r>
                      <a:rPr lang="ru-RU" baseline="0"/>
                      <a:t>-</a:t>
                    </a:r>
                    <a:r>
                      <a:rPr lang="ru-RU"/>
                      <a:t> 45,1%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4845144356955381"/>
                  <c:y val="2.7104455080369857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Бензин автомобильный -</a:t>
                    </a:r>
                    <a:r>
                      <a:rPr lang="ru-RU" baseline="0"/>
                      <a:t> </a:t>
                    </a:r>
                    <a:r>
                      <a:rPr lang="ru-RU"/>
                      <a:t> 1,1%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Дизельное топливо - 11,8%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.15882187835395203"/>
                  <c:y val="-0.1315031820029985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Топлива жидкие - </a:t>
                    </a:r>
                    <a:r>
                      <a:rPr lang="en-US"/>
                      <a:t>1</a:t>
                    </a:r>
                    <a:r>
                      <a:rPr lang="ru-RU"/>
                      <a:t>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Газ природный -  17,6%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86661282724276E-2"/>
                  <c:y val="-2.12046043264199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- 0,3%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7.8154020844980562E-2"/>
                  <c:y val="-1.6014594210097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Лист1!$A$2:$A$13</c:f>
              <c:strCache>
                <c:ptCount val="12"/>
                <c:pt idx="0">
                  <c:v>Уголь каменный (2701*)</c:v>
                </c:pt>
                <c:pt idx="1">
                  <c:v>Бурый уголь (2702*)</c:v>
                </c:pt>
                <c:pt idx="2">
                  <c:v>Торф (2703*) </c:v>
                </c:pt>
                <c:pt idx="3">
                  <c:v>Кокс и полукокс из каменного угля (2704*)</c:v>
                </c:pt>
                <c:pt idx="4">
                  <c:v>Газовый конденсат природный (2709001*)</c:v>
                </c:pt>
                <c:pt idx="5">
                  <c:v>Нефть сырая (2709*)</c:v>
                </c:pt>
                <c:pt idx="6">
                  <c:v>Бензин автомобильный </c:v>
                </c:pt>
                <c:pt idx="7">
                  <c:v>Дизельное топливо </c:v>
                </c:pt>
                <c:pt idx="8">
                  <c:v>Топлива жидкие</c:v>
                </c:pt>
                <c:pt idx="9">
                  <c:v>Газ природный </c:v>
                </c:pt>
                <c:pt idx="10">
                  <c:v>Электроэнергия</c:v>
                </c:pt>
                <c:pt idx="11">
                  <c:v>Прочие</c:v>
                </c:pt>
              </c:strCache>
            </c:strRef>
          </c:cat>
          <c:val>
            <c:numRef>
              <c:f>Лист1!$B$2:$B$13</c:f>
              <c:numCache>
                <c:formatCode>#,##0.0</c:formatCode>
                <c:ptCount val="12"/>
                <c:pt idx="0">
                  <c:v>6.2</c:v>
                </c:pt>
                <c:pt idx="1">
                  <c:v>0.1</c:v>
                </c:pt>
                <c:pt idx="2">
                  <c:v>0</c:v>
                </c:pt>
                <c:pt idx="3">
                  <c:v>0.3</c:v>
                </c:pt>
                <c:pt idx="4">
                  <c:v>0.1</c:v>
                </c:pt>
                <c:pt idx="5">
                  <c:v>45.1</c:v>
                </c:pt>
                <c:pt idx="6">
                  <c:v>1.1000000000000001</c:v>
                </c:pt>
                <c:pt idx="7">
                  <c:v>11.8</c:v>
                </c:pt>
                <c:pt idx="8">
                  <c:v>10</c:v>
                </c:pt>
                <c:pt idx="9">
                  <c:v>17.600000000000001</c:v>
                </c:pt>
                <c:pt idx="10">
                  <c:v>0.3</c:v>
                </c:pt>
                <c:pt idx="11">
                  <c:v>7.4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008872486444813"/>
          <c:y val="0.15242864641919759"/>
          <c:w val="0.74320732380362564"/>
          <c:h val="0.706570378702662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4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</c:spPr>
          </c:dPt>
          <c:dPt>
            <c:idx val="5"/>
            <c:bubble3D val="0"/>
            <c:spPr>
              <a:solidFill>
                <a:schemeClr val="tx1">
                  <a:lumMod val="95000"/>
                  <a:lumOff val="5000"/>
                </a:schemeClr>
              </a:solidFill>
            </c:spPr>
          </c:dPt>
          <c:dLbls>
            <c:dLbl>
              <c:idx val="0"/>
              <c:layout>
                <c:manualLayout>
                  <c:x val="-0.17336980646101025"/>
                  <c:y val="-0.1237632169256228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Морской/речной транспорт (код 10)</a:t>
                    </a:r>
                    <a:r>
                      <a:rPr lang="ru-RU" baseline="0"/>
                      <a:t> -</a:t>
                    </a:r>
                    <a:r>
                      <a:rPr lang="ru-RU"/>
                      <a:t> 59,5%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23664891844172792"/>
                  <c:y val="0.2393661228433049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Железнодорожный транспорт (код 20) - 5,8%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7494189244754376E-2"/>
                  <c:y val="0.2338266497164116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Автодорожный транспорт (код 30) - 0,03%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390576486599983E-2"/>
                  <c:y val="3.99152752524013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Состав транспортных средств (тягач с полуприцепом или прицепом) (код 31) - 0,1%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6438846816122508"/>
                  <c:y val="8.87742782152231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Трубопроводный транспорт (код 71)</a:t>
                    </a:r>
                    <a:r>
                      <a:rPr lang="ru-RU" baseline="0"/>
                      <a:t> -</a:t>
                    </a:r>
                    <a:r>
                      <a:rPr lang="ru-RU"/>
                      <a:t> 33,8%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4467264125989415E-2"/>
                  <c:y val="-4.410745917416818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Линии электропередач (код 72) - 0,3%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.12311450749223701"/>
                  <c:y val="-6.428536409117360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Вид транспорта не заполнен - 0,5%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6"/>
                <c:pt idx="0">
                  <c:v>Морской/речной транспорт (код 10)</c:v>
                </c:pt>
                <c:pt idx="1">
                  <c:v>Железнодорожный транспорт (код 20)</c:v>
                </c:pt>
                <c:pt idx="2">
                  <c:v>Автодорожный транспорт (код 30)</c:v>
                </c:pt>
                <c:pt idx="3">
                  <c:v>Состав транспортных средств (тягач с полуприцепом или прицепом) (код 31)</c:v>
                </c:pt>
                <c:pt idx="4">
                  <c:v>Трубопроводный транспорт (код 71)</c:v>
                </c:pt>
                <c:pt idx="5">
                  <c:v>Линии электропередач (код 72)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59.5</c:v>
                </c:pt>
                <c:pt idx="1">
                  <c:v>5.8</c:v>
                </c:pt>
                <c:pt idx="2">
                  <c:v>0.03</c:v>
                </c:pt>
                <c:pt idx="3">
                  <c:v>0.1</c:v>
                </c:pt>
                <c:pt idx="4">
                  <c:v>33.799999999999997</c:v>
                </c:pt>
                <c:pt idx="5">
                  <c:v>0.3</c:v>
                </c:pt>
                <c:pt idx="6">
                  <c:v>0.5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277777777777776E-2"/>
          <c:y val="0.10119820774382096"/>
          <c:w val="0.82407407407407407"/>
          <c:h val="0.7976035845123581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8"/>
          <c:dPt>
            <c:idx val="0"/>
            <c:bubble3D val="0"/>
          </c:dPt>
          <c:dLbls>
            <c:dLbl>
              <c:idx val="0"/>
              <c:layout>
                <c:manualLayout>
                  <c:x val="8.3903834937300355E-3"/>
                  <c:y val="-0.55218755099993566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u="none" strike="noStrike" baseline="0">
                        <a:effectLst/>
                      </a:rPr>
                      <a:t>Линии электропередач (код 72) </a:t>
                    </a:r>
                    <a:r>
                      <a:rPr lang="ru-RU"/>
                      <a:t> - 100,0%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601159230096242E-3"/>
                  <c:y val="-0.4001587301587301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Электроэнергия (2716*)</a:t>
                    </a:r>
                    <a:r>
                      <a:rPr lang="ru-RU" baseline="0"/>
                      <a:t> -</a:t>
                    </a:r>
                    <a:r>
                      <a:rPr lang="ru-RU"/>
                      <a:t> 99,9%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6290591280256633"/>
                  <c:y val="-3.363458195693876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Кокс и полукокс из каменного угля (2704*) - 0,19%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</c:f>
              <c:strCache>
                <c:ptCount val="1"/>
                <c:pt idx="0">
                  <c:v>Электроэнергия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99.9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- 61,4%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- 23,6%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- 7,5%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7.2</c:v>
                </c:pt>
                <c:pt idx="1">
                  <c:v>61.4</c:v>
                </c:pt>
                <c:pt idx="2">
                  <c:v>23.6</c:v>
                </c:pt>
                <c:pt idx="3">
                  <c:v>0.3</c:v>
                </c:pt>
                <c:pt idx="4">
                  <c:v>7.5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16666666666667"/>
          <c:y val="0.16170634920634921"/>
          <c:w val="0.82870370370370372"/>
          <c:h val="0.791666666666666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lumMod val="75000"/>
                </a:schemeClr>
              </a:solidFill>
            </c:spPr>
          </c:dPt>
          <c:dPt>
            <c:idx val="2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bubble3D val="0"/>
          </c:dPt>
          <c:dLbls>
            <c:dLbl>
              <c:idx val="0"/>
              <c:layout>
                <c:manualLayout>
                  <c:x val="1.6206255468066491E-2"/>
                  <c:y val="-4.47147231596050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- 7,2%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34963272820064156"/>
                  <c:y val="-0.2955524309461317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- 60,4%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868108413531642"/>
                  <c:y val="8.51121734783152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АТЭС - 23,6%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5180628463108763E-2"/>
                  <c:y val="-2.84823004541289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ОПЕК - 0,3%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964822105570136E-2"/>
                  <c:y val="-8.4620984876890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- 8,5%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СНГ</c:v>
                </c:pt>
                <c:pt idx="1">
                  <c:v>ЕС</c:v>
                </c:pt>
                <c:pt idx="2">
                  <c:v>АТЭC</c:v>
                </c:pt>
                <c:pt idx="3">
                  <c:v>ОПЕК</c:v>
                </c:pt>
                <c:pt idx="4">
                  <c:v>ПРОЧИЕ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7.2</c:v>
                </c:pt>
                <c:pt idx="1">
                  <c:v>60.4</c:v>
                </c:pt>
                <c:pt idx="2">
                  <c:v>23.6</c:v>
                </c:pt>
                <c:pt idx="3">
                  <c:v>0.3</c:v>
                </c:pt>
                <c:pt idx="4">
                  <c:v>8.5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42592592592593"/>
          <c:y val="0.12428858587798475"/>
          <c:w val="0.82407407407407407"/>
          <c:h val="0.803455348569233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24014563283756188"/>
                  <c:y val="2.67862492798156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СНГ - 40,6%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3963072324292796E-2"/>
                  <c:y val="-0.248579246743992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ЕС - 5,7%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26503080344123653"/>
                  <c:y val="-9.597496574746848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- 53,7%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24963546223388744"/>
                  <c:y val="-2.93410198725159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- 2,28%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СНГ </c:v>
                </c:pt>
                <c:pt idx="1">
                  <c:v>ЕС</c:v>
                </c:pt>
                <c:pt idx="2">
                  <c:v>ПРОЧИЕ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40.6</c:v>
                </c:pt>
                <c:pt idx="1">
                  <c:v>5.7</c:v>
                </c:pt>
                <c:pt idx="2">
                  <c:v>53.7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0.49826</cdr:x>
      <cdr:y>0.23529</cdr:y>
    </cdr:from>
    <cdr:to>
      <cdr:x>0.5</cdr:x>
      <cdr:y>0.42647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2733675" y="762000"/>
          <a:ext cx="9525" cy="61912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A80EB-C825-4ABA-9FE8-681FC293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234</Words>
  <Characters>1338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Васюкова Екатерина Павловна</dc:creator>
  <cp:lastModifiedBy>Гирфанова Ольга Викторовна</cp:lastModifiedBy>
  <cp:revision>2</cp:revision>
  <cp:lastPrinted>2015-05-25T11:10:00Z</cp:lastPrinted>
  <dcterms:created xsi:type="dcterms:W3CDTF">2017-09-04T06:41:00Z</dcterms:created>
  <dcterms:modified xsi:type="dcterms:W3CDTF">2017-09-04T06:41:00Z</dcterms:modified>
</cp:coreProperties>
</file>